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5F1549F6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Ежемесячно подрядчик компенсирует Г</w:t>
      </w:r>
      <w:r w:rsidR="003B79A8">
        <w:rPr>
          <w:rFonts w:eastAsia="ヒラギノ角ゴ Pro W3"/>
          <w:bCs/>
          <w:spacing w:val="-2"/>
          <w:sz w:val="23"/>
          <w:szCs w:val="23"/>
          <w:lang w:eastAsia="ru-RU"/>
        </w:rPr>
        <w:t>енподрядчику затраты в размере 10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07239015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912A82">
        <w:rPr>
          <w:sz w:val="23"/>
          <w:szCs w:val="23"/>
          <w:u w:val="single"/>
        </w:rPr>
        <w:t>66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="00912A82">
        <w:rPr>
          <w:sz w:val="23"/>
          <w:szCs w:val="23"/>
          <w:u w:val="single"/>
        </w:rPr>
        <w:t xml:space="preserve"> шесть</w:t>
      </w:r>
      <w:bookmarkStart w:id="0" w:name="_GoBack"/>
      <w:bookmarkEnd w:id="0"/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A081D"/>
    <w:rsid w:val="003B79A8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412D2"/>
    <w:rsid w:val="008D16D4"/>
    <w:rsid w:val="00906AD9"/>
    <w:rsid w:val="00912A82"/>
    <w:rsid w:val="00964C60"/>
    <w:rsid w:val="00A16216"/>
    <w:rsid w:val="00AB5F59"/>
    <w:rsid w:val="00AE1136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20</Pages>
  <Words>11241</Words>
  <Characters>64074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Ионова Елизавета Борисовна</cp:lastModifiedBy>
  <cp:revision>20</cp:revision>
  <dcterms:created xsi:type="dcterms:W3CDTF">2024-12-26T08:49:00Z</dcterms:created>
  <dcterms:modified xsi:type="dcterms:W3CDTF">2026-03-24T08:01:00Z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